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369" w:y="101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pt;height:60pt;">
            <v:imagedata r:id="rId5" r:href="rId6"/>
          </v:shape>
        </w:pict>
      </w:r>
    </w:p>
    <w:p>
      <w:pPr>
        <w:framePr w:wrap="none" w:vAnchor="page" w:hAnchor="page" w:x="8220" w:y="51"/>
        <w:widowControl w:val="0"/>
      </w:pPr>
    </w:p>
    <w:p>
      <w:pPr>
        <w:framePr w:wrap="none" w:vAnchor="page" w:hAnchor="page" w:x="9219" w:y="211"/>
        <w:widowControl w:val="0"/>
        <w:rPr>
          <w:sz w:val="2"/>
          <w:szCs w:val="2"/>
        </w:rPr>
      </w:pPr>
      <w:r>
        <w:pict>
          <v:shape id="_x0000_s1027" type="#_x0000_t75" style="width:35pt;height:32pt;">
            <v:imagedata r:id="rId7" r:href="rId8"/>
          </v:shape>
        </w:pict>
      </w:r>
    </w:p>
    <w:p>
      <w:pPr>
        <w:framePr w:wrap="none" w:vAnchor="page" w:hAnchor="page" w:x="10140"/>
        <w:widowControl w:val="0"/>
      </w:pPr>
    </w:p>
    <w:p>
      <w:pPr>
        <w:pStyle w:val="Style5"/>
        <w:framePr w:wrap="none" w:vAnchor="page" w:hAnchor="page" w:x="1073" w:y="854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6686" w:right="39" w:firstLine="0"/>
      </w:pPr>
      <w:r>
        <w:rPr>
          <w:lang w:val="ru-RU" w:eastAsia="ru-RU" w:bidi="ru-RU"/>
          <w:spacing w:val="0"/>
          <w:color w:val="000000"/>
          <w:position w:val="0"/>
        </w:rPr>
        <w:t>МИНИСТЕРСТВО ЮСТИЦИИ РОССИЙСКОЙ</w:t>
      </w:r>
    </w:p>
    <w:p>
      <w:pPr>
        <w:pStyle w:val="Style7"/>
        <w:framePr w:w="10402" w:h="959" w:hRule="exact" w:wrap="none" w:vAnchor="page" w:hAnchor="page" w:x="1073" w:y="11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73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ЗАРЕГИСТРИРОВАНО</w:t>
        <w:br/>
        <w:t xml:space="preserve">Регистрационный № </w:t>
      </w:r>
      <w:r>
        <w:rPr>
          <w:rStyle w:val="CharStyle9"/>
          <w:lang w:val="ru-RU" w:eastAsia="ru-RU" w:bidi="ru-RU"/>
        </w:rPr>
        <w:t xml:space="preserve">б б </w:t>
      </w:r>
      <w:r>
        <w:rPr>
          <w:rStyle w:val="CharStyle9"/>
        </w:rPr>
        <w:t>YOi6</w:t>
      </w:r>
      <w:bookmarkEnd w:id="0"/>
    </w:p>
    <w:p>
      <w:pPr>
        <w:pStyle w:val="Style10"/>
        <w:framePr w:wrap="none" w:vAnchor="page" w:hAnchor="page" w:x="1073" w:y="2203"/>
        <w:tabs>
          <w:tab w:leader="hyphen" w:pos="9182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СПОРТА РОССИИСКО&amp;-ФЩЕРВДШТЗ—=</w:t>
        <w:tab/>
      </w:r>
    </w:p>
    <w:p>
      <w:pPr>
        <w:pStyle w:val="Style12"/>
        <w:framePr w:wrap="none" w:vAnchor="page" w:hAnchor="page" w:x="4491" w:y="29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(МИНСПОРТ РОССИИ)</w:t>
      </w:r>
    </w:p>
    <w:p>
      <w:pPr>
        <w:pStyle w:val="Style14"/>
        <w:framePr w:w="10402" w:h="1102" w:hRule="exact" w:wrap="none" w:vAnchor="page" w:hAnchor="page" w:x="107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4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</w:r>
    </w:p>
    <w:p>
      <w:pPr>
        <w:pStyle w:val="Style16"/>
        <w:framePr w:w="10402" w:h="1102" w:hRule="exact" w:wrap="none" w:vAnchor="page" w:hAnchor="page" w:x="1073" w:y="3692"/>
        <w:tabs>
          <w:tab w:leader="none" w:pos="2002" w:val="left"/>
          <w:tab w:leader="none" w:pos="6370" w:val="left"/>
        </w:tabs>
        <w:widowControl w:val="0"/>
        <w:keepNext w:val="0"/>
        <w:keepLines w:val="0"/>
        <w:shd w:val="clear" w:color="auto" w:fill="auto"/>
        <w:bidi w:val="0"/>
        <w:spacing w:before="0" w:after="58" w:line="360" w:lineRule="exact"/>
        <w:ind w:left="0" w:right="0" w:firstLine="0"/>
      </w:pPr>
      <w:bookmarkStart w:id="1" w:name="bookmark1"/>
      <w:r>
        <w:rPr>
          <w:rStyle w:val="CharStyle18"/>
          <w:i w:val="0"/>
          <w:iCs w:val="0"/>
        </w:rPr>
        <w:t>«</w:t>
      </w:r>
      <w:r>
        <w:rPr>
          <w:rStyle w:val="CharStyle19"/>
          <w:i/>
          <w:iCs/>
        </w:rPr>
        <w:t>г,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20//</w:t>
      </w:r>
      <w:r>
        <w:rPr>
          <w:rStyle w:val="CharStyle18"/>
          <w:i w:val="0"/>
          <w:iCs w:val="0"/>
        </w:rPr>
        <w:t>г.</w:t>
        <w:tab/>
      </w:r>
      <w:r>
        <w:rPr>
          <w:rStyle w:val="CharStyle20"/>
          <w:b/>
          <w:bCs/>
          <w:i w:val="0"/>
          <w:iCs w:val="0"/>
        </w:rPr>
        <w:t xml:space="preserve">№ </w:t>
      </w:r>
      <w:r>
        <w:rPr>
          <w:rStyle w:val="CharStyle21"/>
          <w:b w:val="0"/>
          <w:bCs w:val="0"/>
          <w:i/>
          <w:iCs/>
        </w:rPr>
        <w:t>SffJ</w:t>
      </w:r>
      <w:bookmarkEnd w:id="1"/>
    </w:p>
    <w:p>
      <w:pPr>
        <w:pStyle w:val="Style22"/>
        <w:framePr w:w="10402" w:h="1102" w:hRule="exact" w:wrap="none" w:vAnchor="page" w:hAnchor="page" w:x="1073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Москва</w:t>
      </w:r>
    </w:p>
    <w:p>
      <w:pPr>
        <w:pStyle w:val="Style24"/>
        <w:framePr w:w="10402" w:h="7860" w:hRule="exact" w:wrap="none" w:vAnchor="page" w:hAnchor="page" w:x="1073" w:y="5826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2880" w:right="0" w:hanging="114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перечней субстанций и (или) методов, запрещенных для использования в спорте</w:t>
      </w:r>
      <w:bookmarkEnd w:id="2"/>
    </w:p>
    <w:p>
      <w:pPr>
        <w:pStyle w:val="Style10"/>
        <w:framePr w:w="10402" w:h="7860" w:hRule="exact" w:wrap="none" w:vAnchor="page" w:hAnchor="page" w:x="1073" w:y="5826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пунктом 2 части 9 статьи 26 Федерального закона от 4 декабря 2007 г. № 329-ФЗ «О физической культуре и спорте в Российской Федерации» (Собрание законодательства Российской Федерации, 2007, № 50, ст. 6242), а также на основании Международной конвенции о борьбе с допингом в спорте, принятой в г. Париже 19 октября 2005 г. (Собрание законодательства Российской Федерации, 2007, № 24, ст. 2835) и Федерального закона от 27 декабря 2006 г. № 240-ФЗ «О ратификации Международной конвенции о борьбе с допингом в спорте» (Собрание законодательства Российской Федерации, 2007, № 1, ст. 3) </w:t>
      </w:r>
      <w:r>
        <w:rPr>
          <w:rStyle w:val="CharStyle26"/>
        </w:rPr>
        <w:t>приказываю:</w:t>
      </w:r>
    </w:p>
    <w:p>
      <w:pPr>
        <w:pStyle w:val="Style10"/>
        <w:numPr>
          <w:ilvl w:val="0"/>
          <w:numId w:val="1"/>
        </w:numPr>
        <w:framePr w:w="10402" w:h="7860" w:hRule="exact" w:wrap="none" w:vAnchor="page" w:hAnchor="page" w:x="1073" w:y="5826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прилагаемые перечни субстанций и (или) методов, запрещенных для использования в спорте, в соответствии со списком, включенным в Приложение I к Международной конвенции о борьбе с допингом в спорте, в котором указаны субстанции и (или) методы, запрещенные для использования в спорте.</w:t>
      </w:r>
    </w:p>
    <w:p>
      <w:pPr>
        <w:pStyle w:val="Style10"/>
        <w:numPr>
          <w:ilvl w:val="0"/>
          <w:numId w:val="1"/>
        </w:numPr>
        <w:framePr w:w="10402" w:h="7860" w:hRule="exact" w:wrap="none" w:vAnchor="page" w:hAnchor="page" w:x="1073" w:y="5826"/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приказ вступает в силу с 1 января 2022 года.</w:t>
      </w:r>
    </w:p>
    <w:p>
      <w:pPr>
        <w:pStyle w:val="Style10"/>
        <w:numPr>
          <w:ilvl w:val="0"/>
          <w:numId w:val="1"/>
        </w:numPr>
        <w:framePr w:w="10402" w:h="7860" w:hRule="exact" w:wrap="none" w:vAnchor="page" w:hAnchor="page" w:x="1073" w:y="5826"/>
        <w:tabs>
          <w:tab w:leader="none" w:pos="10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Признать утратившим силу приказ Минспорта России от 16 декабря 2020 г. № 927 «Об утверждении перечней субстанций и (или) методов, запрещенных для использования в спорте» (зарегистрирован Министерством юстиции Российской Федерации 22 декабря 2020 г., регистрационный № 61671).</w:t>
      </w:r>
    </w:p>
    <w:p>
      <w:pPr>
        <w:pStyle w:val="Style10"/>
        <w:numPr>
          <w:ilvl w:val="0"/>
          <w:numId w:val="1"/>
        </w:numPr>
        <w:framePr w:w="10402" w:h="7860" w:hRule="exact" w:wrap="none" w:vAnchor="page" w:hAnchor="page" w:x="1073" w:y="5826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приказа возложить на заместителя Министра спорта Российской Федерации О.Х. Байсултанова.</w:t>
      </w:r>
    </w:p>
    <w:p>
      <w:pPr>
        <w:framePr w:wrap="none" w:vAnchor="page" w:hAnchor="page" w:x="5571" w:y="13915"/>
        <w:widowControl w:val="0"/>
        <w:rPr>
          <w:sz w:val="2"/>
          <w:szCs w:val="2"/>
        </w:rPr>
      </w:pPr>
      <w:r>
        <w:pict>
          <v:shape id="_x0000_s1028" type="#_x0000_t75" style="width:83pt;height:83pt;">
            <v:imagedata r:id="rId9" r:href="rId10"/>
          </v:shape>
        </w:pict>
      </w:r>
    </w:p>
    <w:p>
      <w:pPr>
        <w:pStyle w:val="Style10"/>
        <w:framePr w:wrap="none" w:vAnchor="page" w:hAnchor="page" w:x="1140" w:y="1465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Министр</w:t>
      </w:r>
    </w:p>
    <w:p>
      <w:pPr>
        <w:pStyle w:val="Style10"/>
        <w:framePr w:wrap="none" w:vAnchor="page" w:hAnchor="page" w:x="9262" w:y="1465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О.В. Матыцин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3826" w:h="734" w:hRule="exact" w:wrap="none" w:vAnchor="page" w:hAnchor="page" w:x="7121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800"/>
      </w:pPr>
      <w:r>
        <w:rPr>
          <w:rStyle w:val="CharStyle27"/>
        </w:rPr>
        <w:t xml:space="preserve">УТВЕРЖДЕНЫ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приказом Министерства спорта</w:t>
      </w:r>
    </w:p>
    <w:p>
      <w:pPr>
        <w:pStyle w:val="Style28"/>
        <w:framePr w:wrap="none" w:vAnchor="page" w:hAnchor="page" w:x="6699" w:y="218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«</w:t>
      </w:r>
    </w:p>
    <w:p>
      <w:pPr>
        <w:framePr w:wrap="none" w:vAnchor="page" w:hAnchor="page" w:x="7352" w:y="1963"/>
        <w:widowControl w:val="0"/>
        <w:rPr>
          <w:sz w:val="2"/>
          <w:szCs w:val="2"/>
        </w:rPr>
      </w:pPr>
      <w:r>
        <w:pict>
          <v:shape id="_x0000_s1029" type="#_x0000_t75" style="width:101pt;height:34pt;">
            <v:imagedata r:id="rId11" r:href="rId12"/>
          </v:shape>
        </w:pict>
      </w:r>
    </w:p>
    <w:p>
      <w:pPr>
        <w:pStyle w:val="Style10"/>
        <w:framePr w:w="3662" w:h="686" w:hRule="exact" w:wrap="none" w:vAnchor="page" w:hAnchor="page" w:x="7606" w:y="1809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7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Российской Федерации </w:t>
      </w:r>
      <w:r>
        <w:rPr>
          <w:rStyle w:val="CharStyle30"/>
          <w:vertAlign w:val="superscript"/>
        </w:rPr>
        <w:t>Г</w:t>
      </w:r>
      <w:r>
        <w:rPr>
          <w:rStyle w:val="CharStyle30"/>
        </w:rPr>
        <w:t>у&gt;иа^М^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2021 г. №</w:t>
      </w:r>
    </w:p>
    <w:p>
      <w:pPr>
        <w:pStyle w:val="Style24"/>
        <w:framePr w:w="10210" w:h="716" w:hRule="exact" w:wrap="none" w:vAnchor="page" w:hAnchor="page" w:x="1169" w:y="3119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3360" w:right="96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Перечни субстанций и (или) методов, запрещенных для использования в спорте</w:t>
      </w:r>
      <w:bookmarkEnd w:id="3"/>
    </w:p>
    <w:p>
      <w:pPr>
        <w:pStyle w:val="Style24"/>
        <w:numPr>
          <w:ilvl w:val="0"/>
          <w:numId w:val="3"/>
        </w:numPr>
        <w:framePr w:w="10210" w:h="711" w:hRule="exact" w:wrap="none" w:vAnchor="page" w:hAnchor="page" w:x="1169" w:y="4111"/>
        <w:tabs>
          <w:tab w:leader="none" w:pos="27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60" w:right="960" w:firstLine="142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Субстанции и методы, запрещенные все время (как в соревновательный, так и во внесоревновательный период)</w:t>
      </w:r>
      <w:bookmarkEnd w:id="4"/>
    </w:p>
    <w:p>
      <w:pPr>
        <w:pStyle w:val="Style24"/>
        <w:framePr w:wrap="none" w:vAnchor="page" w:hAnchor="page" w:x="1169" w:y="512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84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Запрещенные субстанции</w:t>
      </w:r>
      <w:bookmarkEnd w:id="5"/>
    </w:p>
    <w:p>
      <w:pPr>
        <w:pStyle w:val="Style24"/>
        <w:framePr w:wrap="none" w:vAnchor="page" w:hAnchor="page" w:x="1169" w:y="578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50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Неодобренные субстанции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(S0)</w:t>
      </w:r>
      <w:bookmarkEnd w:id="6"/>
    </w:p>
    <w:p>
      <w:pPr>
        <w:pStyle w:val="Style10"/>
        <w:framePr w:w="10210" w:h="9176" w:hRule="exact" w:wrap="none" w:vAnchor="page" w:hAnchor="page" w:x="1169" w:y="639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Любые фармакологические субстанции, не вошедшие ни в один из последующих разделов настоящего перечня и в настоящее время не одобренные любым органом государственного регулирования в области здравоохранения к использованию в качестве терапевтического средства у людей (например, лекарственные препараты, находящиеся в стадии доклинических или клинических испытаний, лекарства, лицензия на которые была отозвана, «дизайнерские» препараты, медицинские препараты, разрешенные только к ветеринарному применению), запрещены к использованию в любое время (как в соревновательный, так и во внесоревновательный период).</w:t>
      </w:r>
    </w:p>
    <w:p>
      <w:pPr>
        <w:pStyle w:val="Style10"/>
        <w:framePr w:w="10210" w:h="9176" w:hRule="exact" w:wrap="none" w:vAnchor="page" w:hAnchor="page" w:x="1169" w:y="639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1. Анаболические агенты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</w:t>
      </w:r>
      <w:r>
        <w:rPr>
          <w:lang w:val="ru-RU" w:eastAsia="ru-RU" w:bidi="ru-RU"/>
          <w:w w:val="100"/>
          <w:spacing w:val="0"/>
          <w:color w:val="000000"/>
          <w:position w:val="0"/>
        </w:rPr>
        <w:t>1).</w:t>
      </w:r>
    </w:p>
    <w:p>
      <w:pPr>
        <w:pStyle w:val="Style10"/>
        <w:framePr w:w="10210" w:h="9176" w:hRule="exact" w:wrap="none" w:vAnchor="page" w:hAnchor="page" w:x="1169" w:y="639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Анаболические агенты запрещены.</w:t>
      </w:r>
    </w:p>
    <w:p>
      <w:pPr>
        <w:pStyle w:val="Style10"/>
        <w:numPr>
          <w:ilvl w:val="0"/>
          <w:numId w:val="5"/>
        </w:numPr>
        <w:framePr w:w="10210" w:h="9176" w:hRule="exact" w:wrap="none" w:vAnchor="page" w:hAnchor="page" w:x="1169" w:y="6395"/>
        <w:tabs>
          <w:tab w:leader="none" w:pos="130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Анаболические андрогенные стероиды (ААС):</w:t>
      </w:r>
    </w:p>
    <w:p>
      <w:pPr>
        <w:pStyle w:val="Style10"/>
        <w:framePr w:w="10210" w:h="9176" w:hRule="exact" w:wrap="none" w:vAnchor="page" w:hAnchor="page" w:x="1169" w:y="6395"/>
        <w:tabs>
          <w:tab w:leader="none" w:pos="3658" w:val="left"/>
          <w:tab w:leader="none" w:pos="810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1-андростендиол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(5a-androst-l-ene-3p,17P-diol);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1-андростендион</w:t>
      </w:r>
    </w:p>
    <w:p>
      <w:pPr>
        <w:pStyle w:val="Style10"/>
        <w:framePr w:w="10210" w:h="9176" w:hRule="exact" w:wrap="none" w:vAnchor="page" w:hAnchor="page" w:x="1169" w:y="6395"/>
        <w:tabs>
          <w:tab w:leader="none" w:pos="3878" w:val="left"/>
          <w:tab w:leader="none" w:pos="690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(5a-androst-l-ene-3,17-dione);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1-андростерон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(3a-hydroxy-5a-androst-l-ene-17-one);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1-тестостерон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(17P-hydroxy-5a-androst-l-en-3-one);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1-эпиандростерон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(3P-hydroxy-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5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a-androst-</w:t>
      </w:r>
      <w:r>
        <w:rPr>
          <w:lang w:val="ru-RU" w:eastAsia="ru-RU" w:bidi="ru-RU"/>
          <w:w w:val="100"/>
          <w:spacing w:val="0"/>
          <w:color w:val="000000"/>
          <w:position w:val="0"/>
        </w:rPr>
        <w:t>1 -епе- 17-опе);</w:t>
        <w:tab/>
        <w:t>4-андростендиол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(androst-4-ene-3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Р, 17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P-diol);</w:t>
      </w:r>
    </w:p>
    <w:p>
      <w:pPr>
        <w:pStyle w:val="Style10"/>
        <w:framePr w:w="10210" w:h="9176" w:hRule="exact" w:wrap="none" w:vAnchor="page" w:hAnchor="page" w:x="1169" w:y="6395"/>
        <w:tabs>
          <w:tab w:leader="none" w:pos="3221" w:val="left"/>
          <w:tab w:leader="none" w:pos="810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4-гидрокситестостерон</w:t>
        <w:tab/>
        <w:t>(4,1</w:t>
      </w:r>
      <w:r>
        <w:rPr>
          <w:lang w:val="en-US" w:eastAsia="en-US" w:bidi="en-US"/>
          <w:w w:val="100"/>
          <w:spacing w:val="0"/>
          <w:color w:val="000000"/>
          <w:position w:val="0"/>
        </w:rPr>
        <w:t>7p-dihydroxyandrost-4-en-3-one);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5-андростендион</w:t>
      </w:r>
    </w:p>
    <w:p>
      <w:pPr>
        <w:pStyle w:val="Style10"/>
        <w:framePr w:w="10210" w:h="9176" w:hRule="exact" w:wrap="none" w:vAnchor="page" w:hAnchor="page" w:x="1169" w:y="6395"/>
        <w:tabs>
          <w:tab w:leader="none" w:pos="2378" w:val="left"/>
          <w:tab w:leader="none" w:pos="4434" w:val="left"/>
          <w:tab w:leader="none" w:pos="650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(androst-5-ene-3,17-dione);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7а-гидрокси-ДГЭА; 7Р-гидрокси-ДГЭА; 7-кето-ДГЭА; 19-норандростендиол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(estr-4-ene-3,17-diol);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19-норандростендион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(estr-4-ene-3,17- dione);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андростанолон (5а-дигидротестостерон,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17p-hydroxy-5a-androstan-3-one);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андростендиол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(androst-5-ene-3p,17p-diol);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андростендион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(androst-4-ene-3,17-dione);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боластерон;</w:t>
        <w:tab/>
        <w:t>болденон;</w:t>
        <w:tab/>
        <w:t>болдион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(androsta-l,4-diene-3,17-dione);</w:t>
      </w:r>
    </w:p>
    <w:p>
      <w:pPr>
        <w:pStyle w:val="Style10"/>
        <w:framePr w:w="10210" w:h="9176" w:hRule="exact" w:wrap="none" w:vAnchor="page" w:hAnchor="page" w:x="1169" w:y="6395"/>
        <w:tabs>
          <w:tab w:leader="none" w:pos="2378" w:val="left"/>
          <w:tab w:leader="none" w:pos="443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гестринон;</w:t>
        <w:tab/>
        <w:t>даназол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([l,2]oxazolo[4‘,5‘:2,3]pregna-4-en-20-yn-17a-ol);</w:t>
      </w:r>
    </w:p>
    <w:p>
      <w:pPr>
        <w:pStyle w:val="Style10"/>
        <w:framePr w:w="10210" w:h="9176" w:hRule="exact" w:wrap="none" w:vAnchor="page" w:hAnchor="page" w:x="1169" w:y="6395"/>
        <w:tabs>
          <w:tab w:leader="none" w:pos="443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дегидрохлорметилтестостерон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(4-chloro-l 7p-hydroxy-l 7a-methylandrosta-l,4-dien-3-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опе); дезоксиметилтестостерон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(17a-methyl-5a-androst-2-en-17p-ol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17a-methyl-5a- androst-3-en-17p-ol);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дростанолон; калустерон; квинболон; клостебол; местанолон; местеролон; метандиенон</w:t>
        <w:tab/>
        <w:t>(1</w:t>
      </w:r>
      <w:r>
        <w:rPr>
          <w:lang w:val="en-US" w:eastAsia="en-US" w:bidi="en-US"/>
          <w:w w:val="100"/>
          <w:spacing w:val="0"/>
          <w:color w:val="000000"/>
          <w:position w:val="0"/>
        </w:rPr>
        <w:t>7P-hydroxy-</w:t>
      </w: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>7a-methylandrosta-l ,4-dien-3-one);</w:t>
      </w:r>
    </w:p>
    <w:p>
      <w:pPr>
        <w:pStyle w:val="Style10"/>
        <w:framePr w:w="10210" w:h="9176" w:hRule="exact" w:wrap="none" w:vAnchor="page" w:hAnchor="page" w:x="1169" w:y="639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метенолон; метандриол; метастерон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(17p-hydroxy-2a,17a-dimethyl-5a-androstan-3-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rap="none" w:vAnchor="page" w:hAnchor="page" w:x="6225" w:y="6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10"/>
        <w:framePr w:w="10229" w:h="13757" w:hRule="exact" w:wrap="none" w:vAnchor="page" w:hAnchor="page" w:x="1190" w:y="1164"/>
        <w:tabs>
          <w:tab w:leader="none" w:pos="444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метил-</w:t>
      </w: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-тестостерон (1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7(3-hydroxy-l 7a-methyl-5a-androst-l-en-3-one);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метилдиенолон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(17p-hydroxy-17a-methylestra-4,9-dien-3-one);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метилклостебол; метилнортестостерон (1</w:t>
      </w:r>
      <w:r>
        <w:rPr>
          <w:lang w:val="en-US" w:eastAsia="en-US" w:bidi="en-US"/>
          <w:w w:val="100"/>
          <w:spacing w:val="0"/>
          <w:color w:val="000000"/>
          <w:position w:val="0"/>
        </w:rPr>
        <w:t>7P-hydroxy-</w:t>
      </w: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7a-methylestr-4-en-3-one);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метилтестостерон; метриболон (метилтриенолон,</w:t>
        <w:tab/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>7P-hydroxy-</w:t>
      </w: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>7a-methylestra-4,9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,1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l-trien-3-one);</w:t>
      </w:r>
    </w:p>
    <w:p>
      <w:pPr>
        <w:pStyle w:val="Style10"/>
        <w:framePr w:w="10229" w:h="13757" w:hRule="exact" w:wrap="none" w:vAnchor="page" w:hAnchor="page" w:x="1190" w:y="1164"/>
        <w:tabs>
          <w:tab w:leader="none" w:pos="6667" w:val="left"/>
          <w:tab w:leader="none" w:pos="890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миболерон; нандролон (19-нортестостерон); норболетон; норклостебол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(4-chloro- 17P-ol-estr-4-en-3-one);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норэтандролон; оксаболон; оксандролон; оксиместерон; оксиметолон; прастерон (дегидроэпиандростерон, ДГЭА,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3p-hydroxyandrost-5-en-17-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опе); простанозол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(17(3-[(tetrahydropyran-2-yl)oxy]-rHpyrazolo[3,4:2,3]-5a- androstane);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станозолол; стенболон; тестостерон; тетрагидрогестринон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(17-hydroxy-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>8a-homo-19-nor-</w:t>
      </w: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>7a-pregna-4,9,l l-trien-3-one);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тиболон;</w:t>
        <w:tab/>
        <w:t>тренболон</w:t>
      </w:r>
    </w:p>
    <w:p>
      <w:pPr>
        <w:pStyle w:val="Style10"/>
        <w:framePr w:w="10229" w:h="13757" w:hRule="exact" w:wrap="none" w:vAnchor="page" w:hAnchor="page" w:x="1190" w:y="1164"/>
        <w:tabs>
          <w:tab w:leader="none" w:pos="1934" w:val="left"/>
          <w:tab w:leader="none" w:pos="815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(17P-hydroxyestr-4,9,ll-trien-3-one);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флуоксиместерон; формеболон; фуразабол (1</w:t>
      </w:r>
      <w:r>
        <w:rPr>
          <w:lang w:val="en-US" w:eastAsia="en-US" w:bidi="en-US"/>
          <w:w w:val="100"/>
          <w:spacing w:val="0"/>
          <w:color w:val="000000"/>
          <w:position w:val="0"/>
        </w:rPr>
        <w:t>7a-methyl</w:t>
        <w:tab/>
        <w:t xml:space="preserve">[l,2,5]oxadiazolo[3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’,4’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>:2,3]-5a-androstan-17p-ol);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эпиандростерон</w:t>
      </w:r>
    </w:p>
    <w:p>
      <w:pPr>
        <w:pStyle w:val="Style10"/>
        <w:framePr w:w="10229" w:h="13757" w:hRule="exact" w:wrap="none" w:vAnchor="page" w:hAnchor="page" w:x="1190" w:y="116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(3|3-hydroxy-5a-androstan-17-one);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эпи-дигидротестостерон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(17p-hydroxy-5p- androstan-3-one);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эпитестостерон; этилэстренол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(19-norpregna-4-en-17a-ol)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другие субстанции с подобной химической структурой или подобным биологическим эффектом.</w:t>
      </w:r>
    </w:p>
    <w:p>
      <w:pPr>
        <w:pStyle w:val="Style10"/>
        <w:numPr>
          <w:ilvl w:val="0"/>
          <w:numId w:val="5"/>
        </w:numPr>
        <w:framePr w:w="10229" w:h="13757" w:hRule="exact" w:wrap="none" w:vAnchor="page" w:hAnchor="page" w:x="1190" w:y="1164"/>
        <w:tabs>
          <w:tab w:leader="none" w:pos="141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Другие анаболические агенты: зеранол, зилпатерол, кленбутерол, осилодростат, селективные модуляторы андрогенных рецепторов,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(SARMs,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например, андарин,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LGD4033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(лигандрол),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RAD140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энобосарм (остарин)).</w:t>
      </w:r>
    </w:p>
    <w:p>
      <w:pPr>
        <w:pStyle w:val="Style10"/>
        <w:numPr>
          <w:ilvl w:val="0"/>
          <w:numId w:val="7"/>
        </w:numPr>
        <w:framePr w:w="10229" w:h="13757" w:hRule="exact" w:wrap="none" w:vAnchor="page" w:hAnchor="page" w:x="1190" w:y="1164"/>
        <w:tabs>
          <w:tab w:leader="none" w:pos="141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Пептидные гормоны, факторы роста, подобные субстанции и миметики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(S2).</w:t>
      </w:r>
    </w:p>
    <w:p>
      <w:pPr>
        <w:pStyle w:val="Style10"/>
        <w:framePr w:w="10229" w:h="13757" w:hRule="exact" w:wrap="none" w:vAnchor="page" w:hAnchor="page" w:x="1190" w:y="116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Запрещены следующие субстанции и другие субстанции с подобной химической структурой или подобным биологическим эффектом:</w:t>
      </w:r>
    </w:p>
    <w:p>
      <w:pPr>
        <w:pStyle w:val="Style10"/>
        <w:numPr>
          <w:ilvl w:val="1"/>
          <w:numId w:val="7"/>
        </w:numPr>
        <w:framePr w:w="10229" w:h="13757" w:hRule="exact" w:wrap="none" w:vAnchor="page" w:hAnchor="page" w:x="1190" w:y="1164"/>
        <w:tabs>
          <w:tab w:leader="none" w:pos="141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Эритропоэтины (ЕРО) и агенты, влияющие на эритропоэз, в том числе:</w:t>
      </w:r>
    </w:p>
    <w:p>
      <w:pPr>
        <w:pStyle w:val="Style10"/>
        <w:numPr>
          <w:ilvl w:val="2"/>
          <w:numId w:val="7"/>
        </w:numPr>
        <w:framePr w:w="10229" w:h="13757" w:hRule="exact" w:wrap="none" w:vAnchor="page" w:hAnchor="page" w:x="1190" w:y="1164"/>
        <w:tabs>
          <w:tab w:leader="none" w:pos="147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Агонисты рецепторов эритропоэтина, например, дарбэпоэтины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(dEPO);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эритропоэтины (ЭПО); соединения на основе ЭПО (например, ЭПО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-Fc,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метоксиполиэтиленгликоль-эпоэтин бета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(CERA));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ЭПО-миметики и аналогичные соединения (например,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CNTO-530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пегинесатид).</w:t>
      </w:r>
    </w:p>
    <w:p>
      <w:pPr>
        <w:pStyle w:val="Style10"/>
        <w:numPr>
          <w:ilvl w:val="2"/>
          <w:numId w:val="7"/>
        </w:numPr>
        <w:framePr w:w="10229" w:h="13757" w:hRule="exact" w:wrap="none" w:vAnchor="page" w:hAnchor="page" w:x="1190" w:y="1164"/>
        <w:tabs>
          <w:tab w:leader="none" w:pos="147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Активаторы гипоксия-индуцируемого фактора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(HIF),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например: кобальт; дапродустат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(GSK1278863); IOX2;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молидустат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(BAY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85-3934); роксадустат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(FG-4592);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вададустат (АКВ-6548); ксенон.</w:t>
      </w:r>
    </w:p>
    <w:p>
      <w:pPr>
        <w:pStyle w:val="Style10"/>
        <w:numPr>
          <w:ilvl w:val="2"/>
          <w:numId w:val="7"/>
        </w:numPr>
        <w:framePr w:w="10229" w:h="13757" w:hRule="exact" w:wrap="none" w:vAnchor="page" w:hAnchor="page" w:x="1190" w:y="1164"/>
        <w:tabs>
          <w:tab w:leader="none" w:pos="150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Ингибиторы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GATA,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например, К-11706.</w:t>
      </w:r>
    </w:p>
    <w:p>
      <w:pPr>
        <w:pStyle w:val="Style10"/>
        <w:numPr>
          <w:ilvl w:val="2"/>
          <w:numId w:val="7"/>
        </w:numPr>
        <w:framePr w:w="10229" w:h="13757" w:hRule="exact" w:wrap="none" w:vAnchor="page" w:hAnchor="page" w:x="1190" w:y="1164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Ингибиторы сигнального пути трансформирующего фактора роста-бета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(TGF</w:t>
      </w:r>
      <w:r>
        <w:rPr>
          <w:lang w:val="ru-RU" w:eastAsia="ru-RU" w:bidi="ru-RU"/>
          <w:w w:val="100"/>
          <w:spacing w:val="0"/>
          <w:color w:val="000000"/>
          <w:position w:val="0"/>
        </w:rPr>
        <w:t>-Р), например, луспатерцепт; сотатерцепт.</w:t>
      </w:r>
    </w:p>
    <w:p>
      <w:pPr>
        <w:pStyle w:val="Style10"/>
        <w:numPr>
          <w:ilvl w:val="2"/>
          <w:numId w:val="7"/>
        </w:numPr>
        <w:framePr w:w="10229" w:h="13757" w:hRule="exact" w:wrap="none" w:vAnchor="page" w:hAnchor="page" w:x="1190" w:y="1164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Агонисты врожденного рецептора восстановления, например, асиало ЭПО; карбамилированный ЭПО (СЕРО).</w:t>
      </w:r>
    </w:p>
    <w:p>
      <w:pPr>
        <w:pStyle w:val="Style10"/>
        <w:numPr>
          <w:ilvl w:val="1"/>
          <w:numId w:val="7"/>
        </w:numPr>
        <w:framePr w:w="10229" w:h="13757" w:hRule="exact" w:wrap="none" w:vAnchor="page" w:hAnchor="page" w:x="1190" w:y="1164"/>
        <w:tabs>
          <w:tab w:leader="none" w:pos="141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Пептидные гормоны и их рилизинг-факторы:</w:t>
      </w:r>
    </w:p>
    <w:p>
      <w:pPr>
        <w:pStyle w:val="Style10"/>
        <w:numPr>
          <w:ilvl w:val="2"/>
          <w:numId w:val="7"/>
        </w:numPr>
        <w:framePr w:w="10229" w:h="13757" w:hRule="exact" w:wrap="none" w:vAnchor="page" w:hAnchor="page" w:x="1190" w:y="1164"/>
        <w:tabs>
          <w:tab w:leader="none" w:pos="146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Гонадотропин хорионический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(CG)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лютеинизирующий гормон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(LH)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их рилизинг-факторы, например, бусерелин, гонадорелин, гозелерин, деслорелин, лейпрорелин, нафарелин и трипторелин - запрещены только для мужчин.</w:t>
      </w:r>
    </w:p>
    <w:p>
      <w:pPr>
        <w:pStyle w:val="Style10"/>
        <w:numPr>
          <w:ilvl w:val="2"/>
          <w:numId w:val="7"/>
        </w:numPr>
        <w:framePr w:w="10229" w:h="13757" w:hRule="exact" w:wrap="none" w:vAnchor="page" w:hAnchor="page" w:x="1190" w:y="1164"/>
        <w:tabs>
          <w:tab w:leader="none" w:pos="150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Кортикотропины и их рилизинг-факторы, например, кортикорелин.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rap="none" w:vAnchor="page" w:hAnchor="page" w:x="6216" w:y="6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10"/>
        <w:numPr>
          <w:ilvl w:val="2"/>
          <w:numId w:val="7"/>
        </w:numPr>
        <w:framePr w:w="10229" w:h="14403" w:hRule="exact" w:wrap="none" w:vAnchor="page" w:hAnchor="page" w:x="1190" w:y="1154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Гормон роста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(GH),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его аналоги и фрагменты, в том числе: аналоги гормона роста, например лонапегсоматропин, сомапацитан и соматрогон; фрагменты гормона роста, например,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AOD-9604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hGH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176-191.</w:t>
      </w:r>
    </w:p>
    <w:p>
      <w:pPr>
        <w:pStyle w:val="Style10"/>
        <w:numPr>
          <w:ilvl w:val="2"/>
          <w:numId w:val="7"/>
        </w:numPr>
        <w:framePr w:w="10229" w:h="14403" w:hRule="exact" w:wrap="none" w:vAnchor="page" w:hAnchor="page" w:x="1190" w:y="1154"/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Рилизинг факторы гормона роста, в том числе: рилизинг-гормон гормона роста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(GHRH)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его аналоги, например,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CJC-1293, CJC-1295,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серморелин и тесаморелин; секретагоги гормона роста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(GHS)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его миметики, например, леноморелин (грелин), анаморелин, ипаморелин, мациморелин и табиморелин; рилизинг-пептиды гормона роста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(GHRPs),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например, алексаморелин,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GHRP-1, GHRP-2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(пралморелин),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GHRP-3, GHRP-4, GHRP-5, GHRP-6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эксаморелин (гексарелин).</w:t>
      </w:r>
    </w:p>
    <w:p>
      <w:pPr>
        <w:pStyle w:val="Style10"/>
        <w:numPr>
          <w:ilvl w:val="1"/>
          <w:numId w:val="7"/>
        </w:numPr>
        <w:framePr w:w="10229" w:h="14403" w:hRule="exact" w:wrap="none" w:vAnchor="page" w:hAnchor="page" w:x="1190" w:y="1154"/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Факторы роста и модуляторы факторов роста, в том числе: гепатоцитарный фактор роста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(HGF);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инсулиноподобный фактор роста-1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(IGF-1)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его аналоги; механические факторы роста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(MGFs);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сосудисто-эндотелиальный фактор роста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(VEGF);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тимозин-р4 и его производные, например, ТВ-500; тромбоцитарный фактор роста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(PDGF);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факторы роста фибробластов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(FGFs)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другие факторы роста или модуляторы фактора роста, влияющие на синтез или распад мышечного, сухожильного либо связочного белка, на васкуляризацию, потребление энергии, способность к регенерации или изменение типа тканей.</w:t>
      </w:r>
    </w:p>
    <w:p>
      <w:pPr>
        <w:pStyle w:val="Style10"/>
        <w:numPr>
          <w:ilvl w:val="0"/>
          <w:numId w:val="7"/>
        </w:numPr>
        <w:framePr w:w="10229" w:h="14403" w:hRule="exact" w:wrap="none" w:vAnchor="page" w:hAnchor="page" w:x="1190" w:y="1154"/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Бета-2-агонисты (S3).</w:t>
      </w:r>
    </w:p>
    <w:p>
      <w:pPr>
        <w:pStyle w:val="Style10"/>
        <w:framePr w:w="10229" w:h="14403" w:hRule="exact" w:wrap="none" w:vAnchor="page" w:hAnchor="page" w:x="1190" w:y="1154"/>
        <w:tabs>
          <w:tab w:leader="none" w:pos="738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Запрещены все селективные и неселективные бета-2 агонисты, включая все оптические изомеры, в том числе: арформотерол; вилантерол (допускается использование ингаляций вилантерола: максимум 25 мкг в течение 24 часов); индакатерол; левосальбутамол; олодатерол; прокатерол; репротерол; сальбутамол (допускается использование ингаляций сальбутамола:</w:t>
        <w:tab/>
        <w:t>максимум 1600 мкг</w:t>
      </w:r>
    </w:p>
    <w:p>
      <w:pPr>
        <w:pStyle w:val="Style10"/>
        <w:framePr w:w="10229" w:h="14403" w:hRule="exact" w:wrap="none" w:vAnchor="page" w:hAnchor="page" w:x="1190" w:y="115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течение 24 часов в разделенных дозах, которые не превышают 600 мкг в течение 8 часов, начиная с любой дозы); салметерол (допускается использование ингаляций салметерола: максимум 200 мкг в течение 24 часов); тербуталин; третоквинол (триметоквинол); тулобутерол; фенотерол; формотерол (допускается использование ингаляций формотерола: максимальная доставляемая доза 54 мкг в течение 24 часов); хигенамин.</w:t>
      </w:r>
    </w:p>
    <w:p>
      <w:pPr>
        <w:pStyle w:val="Style10"/>
        <w:framePr w:w="10229" w:h="14403" w:hRule="exact" w:wrap="none" w:vAnchor="page" w:hAnchor="page" w:x="1190" w:y="115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 этом присутствие в моче сальбутамола в концентрации, превышающей 1000 нг/мл, или формотерола в концентрации, превышающей 40 нг/мл, не соответствует терапевтическому использованию и будет рассматриваться в качестве неблагоприятного результата анализа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(AAF),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если только спортсмен с помощью контролируемого фармакокинетического исследования не докажет, что не соответствующий норме результат явился следствием ингаляции терапевтических доз, не превышающих вышеуказанный максимум.</w:t>
      </w:r>
    </w:p>
    <w:p>
      <w:pPr>
        <w:pStyle w:val="Style10"/>
        <w:numPr>
          <w:ilvl w:val="0"/>
          <w:numId w:val="7"/>
        </w:numPr>
        <w:framePr w:w="10229" w:h="14403" w:hRule="exact" w:wrap="none" w:vAnchor="page" w:hAnchor="page" w:x="1190" w:y="1154"/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Гормоны и модуляторы метаболизма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(S4).</w:t>
      </w:r>
    </w:p>
    <w:p>
      <w:pPr>
        <w:pStyle w:val="Style10"/>
        <w:framePr w:w="10229" w:h="14403" w:hRule="exact" w:wrap="none" w:vAnchor="page" w:hAnchor="page" w:x="1190" w:y="115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Запрещены следующие гормоны и модуляторы метаболизма.</w:t>
      </w:r>
    </w:p>
    <w:p>
      <w:pPr>
        <w:pStyle w:val="Style10"/>
        <w:numPr>
          <w:ilvl w:val="1"/>
          <w:numId w:val="7"/>
        </w:numPr>
        <w:framePr w:w="10229" w:h="14403" w:hRule="exact" w:wrap="none" w:vAnchor="page" w:hAnchor="page" w:x="1190" w:y="1154"/>
        <w:tabs>
          <w:tab w:leader="none" w:pos="142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Ингибиторы ароматазы, в том числе: 2-андростенол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(5a-androst-2-en-17- ol);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2-андростенон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(5a-androst-2-en-17-one);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3-андростенол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(5a-androst-3-en-17-ol);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3-андростенон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(5a-androst-3-en-17-one); 4-androstene-3,6,17 trione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(6-охо); аминоглютетимид; анастрозол;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androsta-l,4,6-triene-3,17-dione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(андростатриендион);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androsta-3,5-diene-7,17-dione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(аримистан); летрозол; тестолактон; форместан;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rap="none" w:vAnchor="page" w:hAnchor="page" w:x="6206" w:y="6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эксеместан.</w:t>
      </w:r>
    </w:p>
    <w:p>
      <w:pPr>
        <w:pStyle w:val="Style10"/>
        <w:numPr>
          <w:ilvl w:val="1"/>
          <w:numId w:val="7"/>
        </w:numPr>
        <w:framePr w:w="10219" w:h="14413" w:hRule="exact" w:wrap="none" w:vAnchor="page" w:hAnchor="page" w:x="1195" w:y="1165"/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Антиэстрогенные субстанции (антиэстрогены и селективные модуляторы рецепторов эстрогенов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(SERMs)),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 том числе: базедоксифен; кломифен; оспемифен; ралоксифен; тамоксифен; торемифен; циклофенил; фулвестрант.</w:t>
      </w:r>
    </w:p>
    <w:p>
      <w:pPr>
        <w:pStyle w:val="Style10"/>
        <w:numPr>
          <w:ilvl w:val="1"/>
          <w:numId w:val="7"/>
        </w:numPr>
        <w:framePr w:w="10219" w:h="14413" w:hRule="exact" w:wrap="none" w:vAnchor="page" w:hAnchor="page" w:x="1195" w:y="1165"/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Агенты, предотвращающие активацию рецептора активина ПВ, в том числе: активин А-нейтрализующие антитела; антитела против рецептора активина ПВ (например, бимагрумаб); конкуренты рецептора активина ПВ, такие как, рецепторы-ловушки активина (например, АСЕ-031); ингибиторы миостатина, такие как: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агенты, снижающие или подавляющие экспрессию миостатина;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миостатин-нейтрализующие антитела (например, домагрозумаб, ландогрозумаб, стамулумаб);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миостатин-связывающие белки (например, фоллистатин, миостатин- пропептид).</w:t>
      </w:r>
    </w:p>
    <w:p>
      <w:pPr>
        <w:pStyle w:val="Style10"/>
        <w:numPr>
          <w:ilvl w:val="1"/>
          <w:numId w:val="7"/>
        </w:numPr>
        <w:framePr w:w="10219" w:h="14413" w:hRule="exact" w:wrap="none" w:vAnchor="page" w:hAnchor="page" w:x="1195" w:y="1165"/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Модуляторы метаболизма: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активаторы АМФ-активируемой протеинкиназы (АМФК), например,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AICAR, SR9009;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агонисты дельта-рецептора, активируемого пролифераторами пероксисом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(PPAR5),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например,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2-(2-methyl-4-((4-methyl-2-(4-(trifluoromethyl) phenyl)thiazol-5- yl)methylthio)phenoxy) acetic acid (GW 1516, GW501516);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инсулины и инсулин-миметики;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мельдоний;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триметазидин.</w:t>
      </w:r>
    </w:p>
    <w:p>
      <w:pPr>
        <w:pStyle w:val="Style10"/>
        <w:numPr>
          <w:ilvl w:val="0"/>
          <w:numId w:val="7"/>
        </w:numPr>
        <w:framePr w:w="10219" w:h="14413" w:hRule="exact" w:wrap="none" w:vAnchor="page" w:hAnchor="page" w:x="1195" w:y="1165"/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Диуретики и маскирующие агенты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(S5).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Запрещены следующие диуретики и маскирующие агенты, и субстанции с подобной химической структурой или подобным биологическим эффектом (-ами), в том числе: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десмопрессин; пробенецид; увеличители объема плазмы, например, внутривенное введение альбумина, декстрана, гидроксиэтилированного крахмала и маннитола.</w:t>
      </w:r>
    </w:p>
    <w:p>
      <w:pPr>
        <w:pStyle w:val="Style10"/>
        <w:framePr w:w="10219" w:h="14413" w:hRule="exact" w:wrap="none" w:vAnchor="page" w:hAnchor="page" w:x="1195" w:y="1165"/>
        <w:tabs>
          <w:tab w:leader="none" w:pos="2237" w:val="left"/>
          <w:tab w:leader="none" w:pos="4272" w:val="left"/>
          <w:tab w:leader="none" w:pos="6432" w:val="left"/>
          <w:tab w:leader="none" w:pos="9163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амилорид; ацетазоламид; буметанид; ваптаны (например, толваптан); индапамид;</w:t>
        <w:tab/>
        <w:t>канренон;</w:t>
        <w:tab/>
        <w:t>метолазон;</w:t>
        <w:tab/>
        <w:t>спиронолактон;</w:t>
        <w:tab/>
        <w:t>тиазиды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(например, бендрофлуметиазид, гидрохлоротиазид и хлоротиазид); триамтерен; фуросемид; хлорталидон и этакриновая кислота.</w:t>
      </w:r>
    </w:p>
    <w:p>
      <w:pPr>
        <w:pStyle w:val="Style10"/>
        <w:framePr w:w="10219" w:h="14413" w:hRule="exact" w:wrap="none" w:vAnchor="page" w:hAnchor="page" w:x="1195" w:y="1165"/>
        <w:tabs>
          <w:tab w:leader="none" w:pos="3480" w:val="left"/>
          <w:tab w:leader="none" w:pos="5803" w:val="left"/>
          <w:tab w:leader="none" w:pos="821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Допускается использование дроспиренона; памаброма и местного офтальмологического</w:t>
        <w:tab/>
        <w:t>применения</w:t>
        <w:tab/>
        <w:t>ингибиторов</w:t>
        <w:tab/>
        <w:t>карбоангидразы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337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(например, дорзоламида и бринзоламида).</w:t>
      </w:r>
    </w:p>
    <w:p>
      <w:pPr>
        <w:pStyle w:val="Style24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jc w:val="left"/>
        <w:spacing w:before="0" w:after="313" w:line="280" w:lineRule="exact"/>
        <w:ind w:left="408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Запрещенные методы</w:t>
      </w:r>
      <w:bookmarkEnd w:id="7"/>
    </w:p>
    <w:p>
      <w:pPr>
        <w:pStyle w:val="Style10"/>
        <w:numPr>
          <w:ilvl w:val="0"/>
          <w:numId w:val="7"/>
        </w:numPr>
        <w:framePr w:w="10219" w:h="14413" w:hRule="exact" w:wrap="none" w:vAnchor="page" w:hAnchor="page" w:x="1195" w:y="1165"/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Манипуляции с кровью и ее компонентами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(Ml).</w:t>
      </w:r>
    </w:p>
    <w:p>
      <w:pPr>
        <w:pStyle w:val="Style10"/>
        <w:framePr w:w="10219" w:h="14413" w:hRule="exact" w:wrap="none" w:vAnchor="page" w:hAnchor="page" w:x="1195" w:y="116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Запрещены следующие методы:</w:t>
      </w:r>
    </w:p>
    <w:p>
      <w:pPr>
        <w:pStyle w:val="Style10"/>
        <w:numPr>
          <w:ilvl w:val="1"/>
          <w:numId w:val="7"/>
        </w:numPr>
        <w:framePr w:w="10219" w:h="14413" w:hRule="exact" w:wrap="none" w:vAnchor="page" w:hAnchor="page" w:x="1195" w:y="1165"/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Первичное или повторное введение любого количества аутологической, аллогенной (гомологичной) или гетерологичной крови или препаратов красных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rap="none" w:vAnchor="page" w:hAnchor="page" w:x="6206" w:y="6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pStyle w:val="Style10"/>
        <w:framePr w:w="10229" w:h="9861" w:hRule="exact" w:wrap="none" w:vAnchor="page" w:hAnchor="page" w:x="1190" w:y="1160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клеток крови любого происхождения в систему кровообращения.</w:t>
      </w:r>
    </w:p>
    <w:p>
      <w:pPr>
        <w:pStyle w:val="Style10"/>
        <w:numPr>
          <w:ilvl w:val="1"/>
          <w:numId w:val="7"/>
        </w:numPr>
        <w:framePr w:w="10229" w:h="9861" w:hRule="exact" w:wrap="none" w:vAnchor="page" w:hAnchor="page" w:x="1190" w:y="1160"/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Искусственное улучшение процессов потребления, переноса</w:t>
      </w:r>
    </w:p>
    <w:p>
      <w:pPr>
        <w:pStyle w:val="Style10"/>
        <w:framePr w:w="10229" w:h="9861" w:hRule="exact" w:wrap="none" w:vAnchor="page" w:hAnchor="page" w:x="1190" w:y="1160"/>
        <w:tabs>
          <w:tab w:leader="none" w:pos="6142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или доставки кислорода, в том числе:</w:t>
        <w:tab/>
        <w:t>перфторированные соединения,</w:t>
      </w:r>
    </w:p>
    <w:p>
      <w:pPr>
        <w:pStyle w:val="Style10"/>
        <w:framePr w:w="10229" w:h="9861" w:hRule="exact" w:wrap="none" w:vAnchor="page" w:hAnchor="page" w:x="1190" w:y="1160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эфапроксирал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(RSR13)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модифицированные препараты гемоглобина, например, заменители крови на основе гемоглобина, микроинкапсулированный гемоглобин, за исключением введения дополнительного кислорода путем ингаляции.</w:t>
      </w:r>
    </w:p>
    <w:p>
      <w:pPr>
        <w:pStyle w:val="Style10"/>
        <w:numPr>
          <w:ilvl w:val="1"/>
          <w:numId w:val="7"/>
        </w:numPr>
        <w:framePr w:w="10229" w:h="9861" w:hRule="exact" w:wrap="none" w:vAnchor="page" w:hAnchor="page" w:x="1190" w:y="1160"/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Любые формы внутрисосудистых манипуляций с кровью или ее компонентами физическими или химическими методами.</w:t>
      </w:r>
    </w:p>
    <w:p>
      <w:pPr>
        <w:pStyle w:val="Style10"/>
        <w:numPr>
          <w:ilvl w:val="0"/>
          <w:numId w:val="7"/>
        </w:numPr>
        <w:framePr w:w="10229" w:h="9861" w:hRule="exact" w:wrap="none" w:vAnchor="page" w:hAnchor="page" w:x="1190" w:y="1160"/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Химические и физические манипуляции (М2).</w:t>
      </w:r>
    </w:p>
    <w:p>
      <w:pPr>
        <w:pStyle w:val="Style10"/>
        <w:framePr w:w="10229" w:h="9861" w:hRule="exact" w:wrap="none" w:vAnchor="page" w:hAnchor="page" w:x="1190" w:y="1160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Запрещены следующие методы:</w:t>
      </w:r>
    </w:p>
    <w:p>
      <w:pPr>
        <w:pStyle w:val="Style10"/>
        <w:numPr>
          <w:ilvl w:val="1"/>
          <w:numId w:val="7"/>
        </w:numPr>
        <w:framePr w:w="10229" w:h="9861" w:hRule="exact" w:wrap="none" w:vAnchor="page" w:hAnchor="page" w:x="1190" w:y="1160"/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Фальсификация, а также попытки фальсификации отобранных в рамках процедуры допинг-контроля проб с целью нарушения их целостности и подлинности, в том числе: действия по подмене мочи и (или) изменению ее свойств с целью затруднения анализа (например, добавление протеазных ферментов к пробе).</w:t>
      </w:r>
    </w:p>
    <w:p>
      <w:pPr>
        <w:pStyle w:val="Style10"/>
        <w:numPr>
          <w:ilvl w:val="1"/>
          <w:numId w:val="7"/>
        </w:numPr>
        <w:framePr w:w="10229" w:h="9861" w:hRule="exact" w:wrap="none" w:vAnchor="page" w:hAnchor="page" w:x="1190" w:y="1160"/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Внутривенные инфузии и (или) инъекции в объеме более 100 мл в течение 12-часового периода, за исключением случаев стационарного лечения, хирургических процедур или при проведении клинической диагностики.</w:t>
      </w:r>
    </w:p>
    <w:p>
      <w:pPr>
        <w:pStyle w:val="Style10"/>
        <w:numPr>
          <w:ilvl w:val="0"/>
          <w:numId w:val="7"/>
        </w:numPr>
        <w:framePr w:w="10229" w:h="9861" w:hRule="exact" w:wrap="none" w:vAnchor="page" w:hAnchor="page" w:x="1190" w:y="1160"/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Генный и клеточный допинг (М3).</w:t>
      </w:r>
    </w:p>
    <w:p>
      <w:pPr>
        <w:pStyle w:val="Style10"/>
        <w:framePr w:w="10229" w:h="9861" w:hRule="exact" w:wrap="none" w:vAnchor="page" w:hAnchor="page" w:x="1190" w:y="1160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Запрещены, как способные улучшить спортивные результаты:</w:t>
      </w:r>
    </w:p>
    <w:p>
      <w:pPr>
        <w:pStyle w:val="Style10"/>
        <w:numPr>
          <w:ilvl w:val="1"/>
          <w:numId w:val="7"/>
        </w:numPr>
        <w:framePr w:w="10229" w:h="9861" w:hRule="exact" w:wrap="none" w:vAnchor="page" w:hAnchor="page" w:x="1190" w:y="1160"/>
        <w:tabs>
          <w:tab w:leader="none" w:pos="1340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18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Использование нуклеиновых кислот или аналогов нуклеиновых кислот, которые могут изменять последовательности генома и (или) изменять экспрессию генов по любому механизму, включая технологии редактирования генов, подавления экспрессии генов и передачи генов.</w:t>
      </w:r>
    </w:p>
    <w:p>
      <w:pPr>
        <w:pStyle w:val="Style10"/>
        <w:numPr>
          <w:ilvl w:val="1"/>
          <w:numId w:val="7"/>
        </w:numPr>
        <w:framePr w:w="10229" w:h="9861" w:hRule="exact" w:wrap="none" w:vAnchor="page" w:hAnchor="page" w:x="1190" w:y="1160"/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spacing w:before="0" w:after="337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Использование нормальных или генетически модифицированных клеток.</w:t>
      </w:r>
    </w:p>
    <w:p>
      <w:pPr>
        <w:pStyle w:val="Style24"/>
        <w:numPr>
          <w:ilvl w:val="0"/>
          <w:numId w:val="3"/>
        </w:numPr>
        <w:framePr w:w="10229" w:h="9861" w:hRule="exact" w:wrap="none" w:vAnchor="page" w:hAnchor="page" w:x="1190" w:y="1160"/>
        <w:tabs>
          <w:tab w:leader="none" w:pos="16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7" w:line="280" w:lineRule="exact"/>
        <w:ind w:left="116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Субстанции и методы, запрещенные в соревновательный период</w:t>
      </w:r>
      <w:bookmarkEnd w:id="8"/>
    </w:p>
    <w:p>
      <w:pPr>
        <w:pStyle w:val="Style24"/>
        <w:framePr w:w="10229" w:h="9861" w:hRule="exact" w:wrap="none" w:vAnchor="page" w:hAnchor="page" w:x="1190" w:y="116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82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Запрещенные субстанции</w:t>
      </w:r>
      <w:bookmarkEnd w:id="9"/>
    </w:p>
    <w:p>
      <w:pPr>
        <w:pStyle w:val="Style10"/>
        <w:numPr>
          <w:ilvl w:val="0"/>
          <w:numId w:val="7"/>
        </w:numPr>
        <w:framePr w:w="10229" w:h="4280" w:hRule="exact" w:wrap="none" w:vAnchor="page" w:hAnchor="page" w:x="1190" w:y="11297"/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Стимуляторы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(S6).</w:t>
      </w:r>
    </w:p>
    <w:p>
      <w:pPr>
        <w:pStyle w:val="Style10"/>
        <w:framePr w:w="10229" w:h="4280" w:hRule="exact" w:wrap="none" w:vAnchor="page" w:hAnchor="page" w:x="1190" w:y="11297"/>
        <w:tabs>
          <w:tab w:leader="none" w:pos="2971" w:val="left"/>
          <w:tab w:leader="none" w:pos="5549" w:val="left"/>
          <w:tab w:leader="none" w:pos="847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Запрещены все стимуляторы, включая все оптические изомеры, то есть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1-, где это применимо: адрафинил; амифеназол; амфепрамон; амфетамин; амфетаминил; бензилпиперазин; бенфлуорекс; бромантан; клобензорекс; кокаин; кропропамид; кротетамид; лиздексамфетамин; мезокарб; метамфетамин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(d-);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р-метиламфетамин; мефенорекс; мефентермин; модафинил; норфенфлурамин; прениламин; пролинтан; фендиметразин; фенетиллин; фенкамин; фенпропорекс;</w:t>
        <w:tab/>
        <w:t>фентермин;</w:t>
        <w:tab/>
        <w:t>фенфлурамин;</w:t>
        <w:tab/>
        <w:t>фонтурацетам</w:t>
      </w:r>
    </w:p>
    <w:p>
      <w:pPr>
        <w:pStyle w:val="Style10"/>
        <w:framePr w:w="10229" w:h="4280" w:hRule="exact" w:wrap="none" w:vAnchor="page" w:hAnchor="page" w:x="1190" w:y="11297"/>
        <w:tabs>
          <w:tab w:leader="none" w:pos="4104" w:val="left"/>
          <w:tab w:leader="none" w:pos="10135" w:val="righ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[4-фенил-пирацетам (карфедон)]; фурфенорекс;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3-Methylhexan-2-amine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(1,2-диметилпентиламин);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4-Methylhexan-2-amine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(метилгексанамин);</w:t>
      </w:r>
    </w:p>
    <w:p>
      <w:pPr>
        <w:pStyle w:val="Style10"/>
        <w:numPr>
          <w:ilvl w:val="0"/>
          <w:numId w:val="9"/>
        </w:numPr>
        <w:framePr w:w="10229" w:h="4280" w:hRule="exact" w:wrap="none" w:vAnchor="page" w:hAnchor="page" w:x="1190" w:y="11297"/>
        <w:tabs>
          <w:tab w:leader="none" w:pos="416" w:val="left"/>
          <w:tab w:leader="none" w:pos="3672" w:val="left"/>
          <w:tab w:leader="none" w:pos="10135" w:val="righ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Methylpentan-2-amine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(1,3-диметилбутиламин);</w:t>
        <w:tab/>
        <w:t>4-фторметилфенидат;</w:t>
      </w:r>
    </w:p>
    <w:p>
      <w:pPr>
        <w:pStyle w:val="Style10"/>
        <w:numPr>
          <w:ilvl w:val="0"/>
          <w:numId w:val="9"/>
        </w:numPr>
        <w:framePr w:w="10229" w:h="4280" w:hRule="exact" w:wrap="none" w:vAnchor="page" w:hAnchor="page" w:x="1190" w:y="11297"/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Methylhexan-2-amine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(1,4-диметилбутиламин); бензфетамин; гептаминол; гидрафинил (флуоренол); гидроксиамфетамин (парагидроксиамфетамин);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rap="none" w:vAnchor="page" w:hAnchor="page" w:x="6208" w:y="66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pStyle w:val="Style10"/>
        <w:framePr w:w="10224" w:h="14403" w:hRule="exact" w:wrap="none" w:vAnchor="page" w:hAnchor="page" w:x="1192" w:y="1174"/>
        <w:tabs>
          <w:tab w:leader="none" w:pos="408" w:val="left"/>
          <w:tab w:leader="none" w:pos="1243" w:val="left"/>
          <w:tab w:leader="none" w:pos="4934" w:val="left"/>
          <w:tab w:leader="none" w:pos="6605" w:val="left"/>
          <w:tab w:leader="none" w:pos="865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диметамфетамин (диметиламфетамин); изометептен; катин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(d</w:t>
      </w:r>
      <w:r>
        <w:rPr>
          <w:lang w:val="ru-RU" w:eastAsia="ru-RU" w:bidi="ru-RU"/>
          <w:w w:val="100"/>
          <w:spacing w:val="0"/>
          <w:color w:val="000000"/>
          <w:position w:val="0"/>
        </w:rPr>
        <w:t>-норпсевдоэфедрин) и</w:t>
        <w:tab/>
        <w:t>его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L</w:t>
      </w:r>
      <w:r>
        <w:rPr>
          <w:lang w:val="ru-RU" w:eastAsia="ru-RU" w:bidi="ru-RU"/>
          <w:w w:val="100"/>
          <w:spacing w:val="0"/>
          <w:color w:val="000000"/>
          <w:position w:val="0"/>
        </w:rPr>
        <w:t>-изомер (попадают в</w:t>
        <w:tab/>
        <w:t>категорию</w:t>
        <w:tab/>
        <w:t>запрещенных</w:t>
        <w:tab/>
        <w:t>субстанций,</w:t>
      </w:r>
    </w:p>
    <w:p>
      <w:pPr>
        <w:pStyle w:val="Style10"/>
        <w:framePr w:w="10224" w:h="14403" w:hRule="exact" w:wrap="none" w:vAnchor="page" w:hAnchor="page" w:x="1192" w:y="1174"/>
        <w:tabs>
          <w:tab w:leader="none" w:pos="836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если концентрация в моче любой из этих субстанций превышает 5 мкг/мл); катинон и его аналоги, например, мефедрон, метедрон и а-пирролидино-валерофенон; левметамфетамин; меклофеноксат; метилендиоксиметамфетамин; метилнафтидат </w:t>
      </w:r>
      <w:r>
        <w:rPr>
          <w:lang w:val="en-US" w:eastAsia="en-US" w:bidi="en-US"/>
          <w:w w:val="100"/>
          <w:spacing w:val="0"/>
          <w:color w:val="000000"/>
          <w:position w:val="0"/>
        </w:rPr>
        <w:t>[((±)-methyl-2-(naphthalen-2-yl)-2-(piperidin-2-yl)acetate];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метилфенидат;</w:t>
      </w:r>
    </w:p>
    <w:p>
      <w:pPr>
        <w:pStyle w:val="Style10"/>
        <w:framePr w:w="10224" w:h="14403" w:hRule="exact" w:wrap="none" w:vAnchor="page" w:hAnchor="page" w:x="1192" w:y="1174"/>
        <w:tabs>
          <w:tab w:leader="none" w:pos="408" w:val="left"/>
          <w:tab w:leader="none" w:pos="1243" w:val="left"/>
          <w:tab w:leader="none" w:pos="4934" w:val="left"/>
          <w:tab w:leader="none" w:pos="6605" w:val="left"/>
          <w:tab w:leader="none" w:pos="865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метилэфедрин (попадает в категорию запрещенных субстанций, если концентрация в</w:t>
        <w:tab/>
        <w:t>моче</w:t>
        <w:tab/>
        <w:t>превышает 10 мкг/мл);</w:t>
        <w:tab/>
        <w:t>никетамид;</w:t>
        <w:tab/>
        <w:t>норфенефрин;</w:t>
        <w:tab/>
        <w:t>оксилофрин</w:t>
      </w:r>
    </w:p>
    <w:p>
      <w:pPr>
        <w:pStyle w:val="Style10"/>
        <w:framePr w:w="10224" w:h="14403" w:hRule="exact" w:wrap="none" w:vAnchor="page" w:hAnchor="page" w:x="1192" w:y="1174"/>
        <w:tabs>
          <w:tab w:leader="none" w:pos="2890" w:val="left"/>
          <w:tab w:leader="none" w:pos="6134" w:val="left"/>
          <w:tab w:leader="none" w:pos="865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(метилсинефрин); октодрин (1,5-диметилгексиламин); октопамин; пемолин; пентетразол; пропилгекседрин; псевдоэфедрин (попадает в категорию запрещенных субстанций, если его концентрация в моче превышает 150 мкг/мл); селегилин; сибутрамин; стрихнин; тенамфетамин (метилен-диоксиамфетамин); туаминогептан; фампрофазон; фенбутразат; фенилэтиламин и его производные; фенкамфамин; фенметразин;</w:t>
        <w:tab/>
        <w:t>фенпрометамин;</w:t>
        <w:tab/>
        <w:t>эпинефрин</w:t>
        <w:tab/>
        <w:t>(адреналин)</w:t>
      </w:r>
    </w:p>
    <w:p>
      <w:pPr>
        <w:pStyle w:val="Style10"/>
        <w:framePr w:w="10224" w:h="14403" w:hRule="exact" w:wrap="none" w:vAnchor="page" w:hAnchor="page" w:x="1192" w:y="117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(не запрещен при местном применении (например, назальное, офтальмологическое) либо при применении в сочетании с местными анестетиками); этамиван; этилфенидат; этиламфетамин; этилэфрин; эфедрин (попадает в категорию запрещенных субстанций, если концентрация в моче превышает 10 мкг/мл) и другие субстанции с подобной химической структурой или подобными биологическими эффектами.</w:t>
      </w:r>
    </w:p>
    <w:p>
      <w:pPr>
        <w:pStyle w:val="Style10"/>
        <w:framePr w:w="10224" w:h="14403" w:hRule="exact" w:wrap="none" w:vAnchor="page" w:hAnchor="page" w:x="1192" w:y="117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Допускается использование клонидина; производных имидазолина для дерматологического, назального или офтальмологического применения (например, бримонидин, клоназолин, феноксазолин, инданазолин, нафазолин, оксиметазолин, ксилометазолин) и стимуляторов, включенных в программу мониторинга 2022 года.</w:t>
      </w:r>
    </w:p>
    <w:p>
      <w:pPr>
        <w:pStyle w:val="Style10"/>
        <w:numPr>
          <w:ilvl w:val="0"/>
          <w:numId w:val="7"/>
        </w:numPr>
        <w:framePr w:w="10224" w:h="14403" w:hRule="exact" w:wrap="none" w:vAnchor="page" w:hAnchor="page" w:x="1192" w:y="1174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Наркотики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(S7).</w:t>
      </w:r>
    </w:p>
    <w:p>
      <w:pPr>
        <w:pStyle w:val="Style10"/>
        <w:framePr w:w="10224" w:h="14403" w:hRule="exact" w:wrap="none" w:vAnchor="page" w:hAnchor="page" w:x="1192" w:y="117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Запрещены следующие наркотические средства, включая оптические изомеры, то есть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1-, где это применимо: бупренорфин; декстроморамид; диаморфин (героин); гидроморфон; метадон; морфин; никоморфин; оксикодон; оксиморфон; пентазоцин; петидин; фентанил и его производные.</w:t>
      </w:r>
    </w:p>
    <w:p>
      <w:pPr>
        <w:pStyle w:val="Style10"/>
        <w:numPr>
          <w:ilvl w:val="0"/>
          <w:numId w:val="7"/>
        </w:numPr>
        <w:framePr w:w="10224" w:h="14403" w:hRule="exact" w:wrap="none" w:vAnchor="page" w:hAnchor="page" w:x="1192" w:y="1174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Каннабиоиды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(S8).</w:t>
      </w:r>
    </w:p>
    <w:p>
      <w:pPr>
        <w:pStyle w:val="Style10"/>
        <w:framePr w:w="10224" w:h="14403" w:hRule="exact" w:wrap="none" w:vAnchor="page" w:hAnchor="page" w:x="1192" w:y="117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Запрещены все природные и синтетические каннабиноиды, например: каннабис (гашиш и марихуана) и продукты каннабиса; природные и синтетические тетрагидроканнабинолы (ТГК); синтетические каннабиноиды, имитирующие эффекты ТГК, за исключением: каннабидиола.</w:t>
      </w:r>
    </w:p>
    <w:p>
      <w:pPr>
        <w:pStyle w:val="Style10"/>
        <w:numPr>
          <w:ilvl w:val="0"/>
          <w:numId w:val="7"/>
        </w:numPr>
        <w:framePr w:w="10224" w:h="14403" w:hRule="exact" w:wrap="none" w:vAnchor="page" w:hAnchor="page" w:x="1192" w:y="1174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Глюкокортикоиды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(S9).</w:t>
      </w:r>
    </w:p>
    <w:p>
      <w:pPr>
        <w:pStyle w:val="Style10"/>
        <w:framePr w:w="10224" w:h="14403" w:hRule="exact" w:wrap="none" w:vAnchor="page" w:hAnchor="page" w:x="1192" w:y="117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Запрещены все глюкокортикоиды при введении любым инъекционным, пероральным, в том числе оромукозальным, например, буккальным, гингивальным и сублингвальным, или ректальным способом, в том числе: беклометазон; бетаметазон; будесонид; гидрокортизон; дексаметазон; дефлазакорт; кортизон; метилпреднизолон; мометазон; преднизолон; преднизон; триамцинолона ацетонид; циклесонид; флунизолид; флуокортолон; флутиказон.</w:t>
      </w:r>
    </w:p>
    <w:p>
      <w:pPr>
        <w:pStyle w:val="Style10"/>
        <w:framePr w:w="10224" w:h="14403" w:hRule="exact" w:wrap="none" w:vAnchor="page" w:hAnchor="page" w:x="1192" w:y="1174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Другие способы введения, в том числе ингаляционно и местно: дентально</w:t>
        <w:softHyphen/>
        <w:t>интраканально, дерматологически, интраназально, офтальмологически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rap="none" w:vAnchor="page" w:hAnchor="page" w:x="6208" w:y="6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pStyle w:val="Style10"/>
        <w:framePr w:w="10214" w:h="5578" w:hRule="exact" w:wrap="none" w:vAnchor="page" w:hAnchor="page" w:x="1197" w:y="1150"/>
        <w:widowControl w:val="0"/>
        <w:keepNext w:val="0"/>
        <w:keepLines w:val="0"/>
        <w:shd w:val="clear" w:color="auto" w:fill="auto"/>
        <w:bidi w:val="0"/>
        <w:spacing w:before="0" w:after="337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перианалыю, не запрещены при использовании дозировок, установленных производителями, и терапевтическими показаниями.</w:t>
      </w:r>
    </w:p>
    <w:p>
      <w:pPr>
        <w:pStyle w:val="Style24"/>
        <w:numPr>
          <w:ilvl w:val="0"/>
          <w:numId w:val="3"/>
        </w:numPr>
        <w:framePr w:w="10214" w:h="5578" w:hRule="exact" w:wrap="none" w:vAnchor="page" w:hAnchor="page" w:x="1197" w:y="1150"/>
        <w:tabs>
          <w:tab w:leader="none" w:pos="23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9" w:line="280" w:lineRule="exact"/>
        <w:ind w:left="186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Субстанции, запрещенные в отдельных видах спорта</w:t>
      </w:r>
      <w:bookmarkEnd w:id="10"/>
    </w:p>
    <w:p>
      <w:pPr>
        <w:pStyle w:val="Style10"/>
        <w:numPr>
          <w:ilvl w:val="0"/>
          <w:numId w:val="7"/>
        </w:numPr>
        <w:framePr w:w="10214" w:h="5578" w:hRule="exact" w:wrap="none" w:vAnchor="page" w:hAnchor="page" w:x="1197" w:y="1150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Бета-блокаторы (Р1).</w:t>
      </w:r>
    </w:p>
    <w:p>
      <w:pPr>
        <w:pStyle w:val="Style10"/>
        <w:framePr w:w="10214" w:h="5578" w:hRule="exact" w:wrap="none" w:vAnchor="page" w:hAnchor="page" w:x="1197" w:y="1150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Бета-блокаторы, в том числе, алпренолол; атенолол; ацебутолол; бетаксолол; бисопролол; бунолол; карведилол; картеолол; лабеталол; метипранолол; метопролол; надолол; небиволол; окспренолол; пиндолол; пропранолол; соталол; тимолол; целипролол; эсмолол, запрещены только в соревновательный период в следующих видах спорта: автоспорт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(FIA);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бильярдный спорт (все дисциплины)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(WCBS);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дартс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(WDF);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гольф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(IGF);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лыжный спорт и сноуборд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(FIS)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(прыжки на лыжах с трамплина, фристайл акробатика и хаф-пайп, сноуборд хаф-пайп и биг-эйр); подводное плавание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(CMAS)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(во всех дисциплинах фридайвинга, подводной охоты и стрельбы по мишеням); стрельба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(ISSF, IPC)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(запрещены также во внесоревновательный период); стрельба из лука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(WA)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(запрещены также во внесоревновательный период).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Roman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Sylfaen" w:eastAsia="Sylfaen" w:hAnsi="Sylfaen" w:cs="Sylfae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4"/>
      <w:numFmt w:val="decimal"/>
      <w:lvlText w:val="%1-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Другое_"/>
    <w:basedOn w:val="DefaultParagraphFont"/>
    <w:link w:val="Style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  <w:w w:val="66"/>
    </w:rPr>
  </w:style>
  <w:style w:type="character" w:customStyle="1" w:styleId="CharStyle8">
    <w:name w:val="Заголовок №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2"/>
      <w:szCs w:val="32"/>
      <w:rFonts w:ascii="Sylfaen" w:eastAsia="Sylfaen" w:hAnsi="Sylfaen" w:cs="Sylfaen"/>
    </w:rPr>
  </w:style>
  <w:style w:type="character" w:customStyle="1" w:styleId="CharStyle9">
    <w:name w:val="Заголовок №2 + Times New Roman,17 pt,Полужирный,Курсив,Интервал -2 pt"/>
    <w:basedOn w:val="CharStyle8"/>
    <w:rPr>
      <w:lang w:val="en-US" w:eastAsia="en-US" w:bidi="en-US"/>
      <w:b/>
      <w:bCs/>
      <w:i/>
      <w:iCs/>
      <w:u w:val="single"/>
      <w:sz w:val="34"/>
      <w:szCs w:val="34"/>
      <w:rFonts w:ascii="Times New Roman" w:eastAsia="Times New Roman" w:hAnsi="Times New Roman" w:cs="Times New Roman"/>
      <w:w w:val="100"/>
      <w:spacing w:val="-40"/>
      <w:color w:val="000000"/>
      <w:position w:val="0"/>
    </w:rPr>
  </w:style>
  <w:style w:type="character" w:customStyle="1" w:styleId="CharStyle11">
    <w:name w:val="Основной текст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13">
    <w:name w:val="Подпись к картинке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Sylfaen" w:eastAsia="Sylfaen" w:hAnsi="Sylfaen" w:cs="Sylfaen"/>
    </w:rPr>
  </w:style>
  <w:style w:type="character" w:customStyle="1" w:styleId="CharStyle15">
    <w:name w:val="Основной текст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34"/>
      <w:szCs w:val="34"/>
      <w:rFonts w:ascii="Sylfaen" w:eastAsia="Sylfaen" w:hAnsi="Sylfaen" w:cs="Sylfaen"/>
    </w:rPr>
  </w:style>
  <w:style w:type="character" w:customStyle="1" w:styleId="CharStyle17">
    <w:name w:val="Заголовок №1_"/>
    <w:basedOn w:val="DefaultParagraphFont"/>
    <w:link w:val="Style16"/>
    <w:rPr>
      <w:b w:val="0"/>
      <w:bCs w:val="0"/>
      <w:i/>
      <w:iCs/>
      <w:u w:val="none"/>
      <w:strike w:val="0"/>
      <w:smallCaps w:val="0"/>
      <w:sz w:val="30"/>
      <w:szCs w:val="30"/>
      <w:rFonts w:ascii="Georgia" w:eastAsia="Georgia" w:hAnsi="Georgia" w:cs="Georgia"/>
    </w:rPr>
  </w:style>
  <w:style w:type="character" w:customStyle="1" w:styleId="CharStyle18">
    <w:name w:val="Заголовок №1 + Sylfaen,8,5 pt,Не курсив"/>
    <w:basedOn w:val="CharStyle17"/>
    <w:rPr>
      <w:lang w:val="ru-RU" w:eastAsia="ru-RU" w:bidi="ru-RU"/>
      <w:b/>
      <w:bCs/>
      <w:i/>
      <w:iCs/>
      <w:sz w:val="17"/>
      <w:szCs w:val="17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9">
    <w:name w:val="Заголовок №1 + Sylfaen,18 pt,Интервал -2 pt"/>
    <w:basedOn w:val="CharStyle17"/>
    <w:rPr>
      <w:lang w:val="ru-RU" w:eastAsia="ru-RU" w:bidi="ru-RU"/>
      <w:b/>
      <w:bCs/>
      <w:sz w:val="36"/>
      <w:szCs w:val="36"/>
      <w:rFonts w:ascii="Sylfaen" w:eastAsia="Sylfaen" w:hAnsi="Sylfaen" w:cs="Sylfaen"/>
      <w:w w:val="100"/>
      <w:spacing w:val="-50"/>
      <w:color w:val="000000"/>
      <w:position w:val="0"/>
    </w:rPr>
  </w:style>
  <w:style w:type="character" w:customStyle="1" w:styleId="CharStyle20">
    <w:name w:val="Заголовок №1 + Times New Roman,12 pt,Полужирный,Не курсив"/>
    <w:basedOn w:val="CharStyle17"/>
    <w:rPr>
      <w:lang w:val="ru-RU" w:eastAsia="ru-RU" w:bidi="ru-RU"/>
      <w:b/>
      <w:bCs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Заголовок №1"/>
    <w:basedOn w:val="CharStyle1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3">
    <w:name w:val="Основной текст (5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25">
    <w:name w:val="Заголовок №3_"/>
    <w:basedOn w:val="DefaultParagraphFont"/>
    <w:link w:val="Style24"/>
    <w:rPr>
      <w:b/>
      <w:bCs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character" w:customStyle="1" w:styleId="CharStyle26">
    <w:name w:val="Основной текст (2) + Интервал 3 pt"/>
    <w:basedOn w:val="CharStyle11"/>
    <w:rPr>
      <w:lang w:val="ru-RU" w:eastAsia="ru-RU" w:bidi="ru-RU"/>
      <w:w w:val="100"/>
      <w:spacing w:val="60"/>
      <w:color w:val="000000"/>
      <w:position w:val="0"/>
    </w:rPr>
  </w:style>
  <w:style w:type="character" w:customStyle="1" w:styleId="CharStyle27">
    <w:name w:val="Основной текст (2) + 14 pt,Полужирный"/>
    <w:basedOn w:val="CharStyle11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9">
    <w:name w:val="Подпись к картинке (2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30">
    <w:name w:val="Основной текст (2) + Times New Roman,21 pt,Курсив,Интервал -2 pt"/>
    <w:basedOn w:val="CharStyle11"/>
    <w:rPr>
      <w:lang w:val="ru-RU" w:eastAsia="ru-RU" w:bidi="ru-RU"/>
      <w:i/>
      <w:iCs/>
      <w:sz w:val="42"/>
      <w:szCs w:val="42"/>
      <w:rFonts w:ascii="Times New Roman" w:eastAsia="Times New Roman" w:hAnsi="Times New Roman" w:cs="Times New Roman"/>
      <w:w w:val="100"/>
      <w:spacing w:val="-40"/>
      <w:color w:val="000000"/>
      <w:position w:val="0"/>
    </w:rPr>
  </w:style>
  <w:style w:type="character" w:customStyle="1" w:styleId="CharStyle32">
    <w:name w:val="Колонтитул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paragraph" w:customStyle="1" w:styleId="Style3">
    <w:name w:val="Другое"/>
    <w:basedOn w:val="Normal"/>
    <w:link w:val="CharStyle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  <w:w w:val="66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FFFFFF"/>
      <w:outlineLvl w:val="1"/>
      <w:spacing w:before="180" w:after="180" w:line="437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ylfaen" w:eastAsia="Sylfaen" w:hAnsi="Sylfaen" w:cs="Sylfaen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paragraph" w:customStyle="1" w:styleId="Style12">
    <w:name w:val="Подпись к картинке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Sylfaen" w:eastAsia="Sylfaen" w:hAnsi="Sylfaen" w:cs="Sylfaen"/>
    </w:rPr>
  </w:style>
  <w:style w:type="paragraph" w:customStyle="1" w:styleId="Style14">
    <w:name w:val="Основной текст (4)"/>
    <w:basedOn w:val="Normal"/>
    <w:link w:val="CharStyle15"/>
    <w:pPr>
      <w:widowControl w:val="0"/>
      <w:shd w:val="clear" w:color="auto" w:fill="FFFFFF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ylfaen" w:eastAsia="Sylfaen" w:hAnsi="Sylfaen" w:cs="Sylfaen"/>
    </w:rPr>
  </w:style>
  <w:style w:type="paragraph" w:customStyle="1" w:styleId="Style16">
    <w:name w:val="Заголовок №1"/>
    <w:basedOn w:val="Normal"/>
    <w:link w:val="CharStyle17"/>
    <w:pPr>
      <w:widowControl w:val="0"/>
      <w:shd w:val="clear" w:color="auto" w:fill="FFFFFF"/>
      <w:jc w:val="both"/>
      <w:outlineLvl w:val="0"/>
      <w:spacing w:after="180"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Georgia" w:eastAsia="Georgia" w:hAnsi="Georgia" w:cs="Georgia"/>
    </w:rPr>
  </w:style>
  <w:style w:type="paragraph" w:customStyle="1" w:styleId="Style22">
    <w:name w:val="Основной текст (5)"/>
    <w:basedOn w:val="Normal"/>
    <w:link w:val="CharStyle23"/>
    <w:pPr>
      <w:widowControl w:val="0"/>
      <w:shd w:val="clear" w:color="auto" w:fill="FFFFFF"/>
      <w:spacing w:before="180" w:after="114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paragraph" w:customStyle="1" w:styleId="Style24">
    <w:name w:val="Заголовок №3"/>
    <w:basedOn w:val="Normal"/>
    <w:link w:val="CharStyle25"/>
    <w:pPr>
      <w:widowControl w:val="0"/>
      <w:shd w:val="clear" w:color="auto" w:fill="FFFFFF"/>
      <w:outlineLvl w:val="2"/>
      <w:spacing w:before="1140" w:after="240" w:line="326" w:lineRule="exact"/>
      <w:ind w:hanging="1160"/>
    </w:pPr>
    <w:rPr>
      <w:b/>
      <w:bCs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paragraph" w:customStyle="1" w:styleId="Style28">
    <w:name w:val="Подпись к картинке (2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paragraph" w:customStyle="1" w:styleId="Style31">
    <w:name w:val="Колонтитул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/Relationships>
</file>